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B9D2" w14:textId="77777777" w:rsidR="00277BF8" w:rsidRDefault="00277BF8">
      <w:pPr>
        <w:rPr>
          <w:sz w:val="24"/>
        </w:rPr>
      </w:pPr>
      <w:r>
        <w:rPr>
          <w:sz w:val="24"/>
        </w:rPr>
        <w:t>Dear Client,</w:t>
      </w:r>
    </w:p>
    <w:p w14:paraId="2E2B5FCB" w14:textId="4FF507F0" w:rsidR="005B2DF8" w:rsidRPr="00277BF8" w:rsidRDefault="00277BF8">
      <w:pPr>
        <w:rPr>
          <w:sz w:val="24"/>
        </w:rPr>
      </w:pPr>
      <w:r>
        <w:rPr>
          <w:sz w:val="24"/>
        </w:rPr>
        <w:t xml:space="preserve">With the recent </w:t>
      </w:r>
      <w:r w:rsidR="00A924C8">
        <w:rPr>
          <w:sz w:val="24"/>
        </w:rPr>
        <w:t>movements</w:t>
      </w:r>
      <w:r>
        <w:rPr>
          <w:sz w:val="24"/>
        </w:rPr>
        <w:t xml:space="preserve"> </w:t>
      </w:r>
      <w:r w:rsidR="00A924C8">
        <w:rPr>
          <w:sz w:val="24"/>
        </w:rPr>
        <w:t>in</w:t>
      </w:r>
      <w:r>
        <w:rPr>
          <w:sz w:val="24"/>
        </w:rPr>
        <w:t xml:space="preserve"> equity markets, we thought it best we communicate with you again.  </w:t>
      </w:r>
      <w:r w:rsidRPr="00277BF8">
        <w:rPr>
          <w:sz w:val="24"/>
        </w:rPr>
        <w:t>As our recent mailings have warned</w:t>
      </w:r>
      <w:r w:rsidR="000248FF">
        <w:rPr>
          <w:sz w:val="24"/>
        </w:rPr>
        <w:t>,</w:t>
      </w:r>
      <w:r w:rsidRPr="00277BF8">
        <w:rPr>
          <w:sz w:val="24"/>
        </w:rPr>
        <w:t xml:space="preserve"> October could be a scary month for investors.  October 2018 has started as one of the worst months in nearly a decade and it came without warning.</w:t>
      </w:r>
    </w:p>
    <w:p w14:paraId="5106B28E" w14:textId="77777777" w:rsidR="00277BF8" w:rsidRPr="00277BF8" w:rsidRDefault="00277BF8">
      <w:pPr>
        <w:rPr>
          <w:sz w:val="24"/>
        </w:rPr>
      </w:pPr>
      <w:r>
        <w:rPr>
          <w:sz w:val="24"/>
        </w:rPr>
        <w:t>While many financial</w:t>
      </w:r>
      <w:r w:rsidRPr="00277BF8">
        <w:rPr>
          <w:sz w:val="24"/>
        </w:rPr>
        <w:t xml:space="preserve"> analysts are still calling for a higher year</w:t>
      </w:r>
      <w:r w:rsidR="000248FF">
        <w:rPr>
          <w:sz w:val="24"/>
        </w:rPr>
        <w:t>-</w:t>
      </w:r>
      <w:r w:rsidRPr="00277BF8">
        <w:rPr>
          <w:sz w:val="24"/>
        </w:rPr>
        <w:t>end finish</w:t>
      </w:r>
      <w:r w:rsidR="000248FF">
        <w:rPr>
          <w:sz w:val="24"/>
        </w:rPr>
        <w:t>,</w:t>
      </w:r>
      <w:r w:rsidRPr="00277BF8">
        <w:rPr>
          <w:sz w:val="24"/>
        </w:rPr>
        <w:t xml:space="preserve"> the equity markets are experiencing a pullback and might even realize a correction this month.</w:t>
      </w:r>
    </w:p>
    <w:p w14:paraId="08FCDA31" w14:textId="77777777" w:rsidR="00277BF8" w:rsidRPr="00277BF8" w:rsidRDefault="00277BF8">
      <w:pPr>
        <w:rPr>
          <w:sz w:val="24"/>
        </w:rPr>
      </w:pPr>
      <w:r w:rsidRPr="00277BF8">
        <w:rPr>
          <w:sz w:val="24"/>
        </w:rPr>
        <w:t>Is this abnormal behavior?</w:t>
      </w:r>
    </w:p>
    <w:p w14:paraId="674B2CCA" w14:textId="77777777" w:rsidR="00277BF8" w:rsidRDefault="00277BF8">
      <w:pPr>
        <w:rPr>
          <w:sz w:val="24"/>
        </w:rPr>
      </w:pPr>
      <w:r w:rsidRPr="00277BF8">
        <w:rPr>
          <w:sz w:val="24"/>
        </w:rPr>
        <w:t xml:space="preserve">As the following chart shows, no! </w:t>
      </w:r>
    </w:p>
    <w:p w14:paraId="4A023AEB" w14:textId="77777777" w:rsidR="000248FF" w:rsidRDefault="000248FF">
      <w:pPr>
        <w:rPr>
          <w:sz w:val="24"/>
        </w:rPr>
      </w:pPr>
    </w:p>
    <w:tbl>
      <w:tblPr>
        <w:tblStyle w:val="TableGrid"/>
        <w:tblW w:w="0" w:type="auto"/>
        <w:tblInd w:w="134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965"/>
        <w:gridCol w:w="3515"/>
      </w:tblGrid>
      <w:tr w:rsidR="000248FF" w14:paraId="7C8FD17B" w14:textId="77777777" w:rsidTr="000248FF">
        <w:tc>
          <w:tcPr>
            <w:tcW w:w="2965" w:type="dxa"/>
            <w:shd w:val="clear" w:color="auto" w:fill="2F5496" w:themeFill="accent5" w:themeFillShade="BF"/>
          </w:tcPr>
          <w:p w14:paraId="529B14AC" w14:textId="77777777" w:rsidR="000248FF" w:rsidRPr="000248FF" w:rsidRDefault="000248FF" w:rsidP="000248FF">
            <w:pPr>
              <w:jc w:val="center"/>
              <w:rPr>
                <w:rFonts w:asciiTheme="majorHAnsi" w:hAnsiTheme="majorHAnsi"/>
                <w:b/>
                <w:color w:val="FFFFFF" w:themeColor="background1"/>
                <w:sz w:val="32"/>
              </w:rPr>
            </w:pPr>
            <w:r w:rsidRPr="000248FF">
              <w:rPr>
                <w:rFonts w:asciiTheme="majorHAnsi" w:hAnsiTheme="majorHAnsi"/>
                <w:b/>
                <w:color w:val="FFFFFF" w:themeColor="background1"/>
                <w:sz w:val="32"/>
              </w:rPr>
              <w:t>Magnitude of Market Fall</w:t>
            </w:r>
          </w:p>
        </w:tc>
        <w:tc>
          <w:tcPr>
            <w:tcW w:w="3515" w:type="dxa"/>
            <w:shd w:val="clear" w:color="auto" w:fill="2F5496" w:themeFill="accent5" w:themeFillShade="BF"/>
          </w:tcPr>
          <w:p w14:paraId="2274F961" w14:textId="77777777" w:rsidR="000248FF" w:rsidRPr="000248FF" w:rsidRDefault="000248FF" w:rsidP="000248FF">
            <w:pPr>
              <w:jc w:val="center"/>
              <w:rPr>
                <w:rFonts w:asciiTheme="majorHAnsi" w:hAnsiTheme="majorHAnsi"/>
                <w:b/>
                <w:color w:val="FFFFFF" w:themeColor="background1"/>
                <w:sz w:val="32"/>
              </w:rPr>
            </w:pPr>
            <w:r w:rsidRPr="000248FF">
              <w:rPr>
                <w:rFonts w:asciiTheme="majorHAnsi" w:hAnsiTheme="majorHAnsi"/>
                <w:b/>
                <w:color w:val="FFFFFF" w:themeColor="background1"/>
                <w:sz w:val="32"/>
              </w:rPr>
              <w:t>Historical Frequency</w:t>
            </w:r>
          </w:p>
        </w:tc>
      </w:tr>
      <w:tr w:rsidR="000248FF" w14:paraId="0C1241E4" w14:textId="77777777" w:rsidTr="000248FF">
        <w:tc>
          <w:tcPr>
            <w:tcW w:w="2965" w:type="dxa"/>
          </w:tcPr>
          <w:p w14:paraId="34645452" w14:textId="77777777" w:rsidR="000248FF" w:rsidRPr="000248FF" w:rsidRDefault="000248FF" w:rsidP="000248FF">
            <w:pPr>
              <w:jc w:val="center"/>
              <w:rPr>
                <w:color w:val="2F5496" w:themeColor="accent5" w:themeShade="BF"/>
                <w:sz w:val="32"/>
              </w:rPr>
            </w:pPr>
            <w:r w:rsidRPr="000248FF">
              <w:rPr>
                <w:color w:val="2F5496" w:themeColor="accent5" w:themeShade="BF"/>
                <w:sz w:val="32"/>
              </w:rPr>
              <w:t>-5% or more</w:t>
            </w:r>
          </w:p>
        </w:tc>
        <w:tc>
          <w:tcPr>
            <w:tcW w:w="3515" w:type="dxa"/>
          </w:tcPr>
          <w:p w14:paraId="0803925A" w14:textId="77777777" w:rsidR="000248FF" w:rsidRPr="000248FF" w:rsidRDefault="000248FF" w:rsidP="000248FF">
            <w:pPr>
              <w:jc w:val="center"/>
              <w:rPr>
                <w:color w:val="2F5496" w:themeColor="accent5" w:themeShade="BF"/>
                <w:sz w:val="32"/>
              </w:rPr>
            </w:pPr>
            <w:r w:rsidRPr="000248FF">
              <w:rPr>
                <w:color w:val="2F5496" w:themeColor="accent5" w:themeShade="BF"/>
                <w:sz w:val="32"/>
              </w:rPr>
              <w:t>3 times per year</w:t>
            </w:r>
          </w:p>
        </w:tc>
      </w:tr>
      <w:tr w:rsidR="000248FF" w14:paraId="25F30359" w14:textId="77777777" w:rsidTr="000248FF">
        <w:tc>
          <w:tcPr>
            <w:tcW w:w="2965" w:type="dxa"/>
          </w:tcPr>
          <w:p w14:paraId="33768E56" w14:textId="77777777" w:rsidR="000248FF" w:rsidRPr="000248FF" w:rsidRDefault="000248FF" w:rsidP="000248FF">
            <w:pPr>
              <w:jc w:val="center"/>
              <w:rPr>
                <w:color w:val="2F5496" w:themeColor="accent5" w:themeShade="BF"/>
                <w:sz w:val="32"/>
              </w:rPr>
            </w:pPr>
            <w:r w:rsidRPr="000248FF">
              <w:rPr>
                <w:color w:val="2F5496" w:themeColor="accent5" w:themeShade="BF"/>
                <w:sz w:val="32"/>
              </w:rPr>
              <w:t>-10% or more</w:t>
            </w:r>
          </w:p>
        </w:tc>
        <w:tc>
          <w:tcPr>
            <w:tcW w:w="3515" w:type="dxa"/>
          </w:tcPr>
          <w:p w14:paraId="663F5028" w14:textId="77777777" w:rsidR="000248FF" w:rsidRPr="000248FF" w:rsidRDefault="000248FF" w:rsidP="000248FF">
            <w:pPr>
              <w:jc w:val="center"/>
              <w:rPr>
                <w:color w:val="2F5496" w:themeColor="accent5" w:themeShade="BF"/>
                <w:sz w:val="32"/>
              </w:rPr>
            </w:pPr>
            <w:r w:rsidRPr="000248FF">
              <w:rPr>
                <w:color w:val="2F5496" w:themeColor="accent5" w:themeShade="BF"/>
                <w:sz w:val="32"/>
              </w:rPr>
              <w:t>Once per year</w:t>
            </w:r>
          </w:p>
        </w:tc>
      </w:tr>
      <w:tr w:rsidR="000248FF" w14:paraId="7713C686" w14:textId="77777777" w:rsidTr="000248FF">
        <w:tc>
          <w:tcPr>
            <w:tcW w:w="2965" w:type="dxa"/>
          </w:tcPr>
          <w:p w14:paraId="76D427A0" w14:textId="77777777" w:rsidR="000248FF" w:rsidRPr="000248FF" w:rsidRDefault="000248FF" w:rsidP="000248FF">
            <w:pPr>
              <w:jc w:val="center"/>
              <w:rPr>
                <w:color w:val="2F5496" w:themeColor="accent5" w:themeShade="BF"/>
                <w:sz w:val="32"/>
              </w:rPr>
            </w:pPr>
            <w:r w:rsidRPr="000248FF">
              <w:rPr>
                <w:color w:val="2F5496" w:themeColor="accent5" w:themeShade="BF"/>
                <w:sz w:val="32"/>
              </w:rPr>
              <w:t>-15% or more</w:t>
            </w:r>
          </w:p>
        </w:tc>
        <w:tc>
          <w:tcPr>
            <w:tcW w:w="3515" w:type="dxa"/>
          </w:tcPr>
          <w:p w14:paraId="44010B1A" w14:textId="77777777" w:rsidR="000248FF" w:rsidRPr="000248FF" w:rsidRDefault="000248FF" w:rsidP="000248FF">
            <w:pPr>
              <w:jc w:val="center"/>
              <w:rPr>
                <w:color w:val="2F5496" w:themeColor="accent5" w:themeShade="BF"/>
                <w:sz w:val="32"/>
              </w:rPr>
            </w:pPr>
            <w:r w:rsidRPr="000248FF">
              <w:rPr>
                <w:color w:val="2F5496" w:themeColor="accent5" w:themeShade="BF"/>
                <w:sz w:val="32"/>
              </w:rPr>
              <w:t>Once every two years</w:t>
            </w:r>
          </w:p>
        </w:tc>
      </w:tr>
      <w:tr w:rsidR="000248FF" w14:paraId="432E7155" w14:textId="77777777" w:rsidTr="000248FF">
        <w:tc>
          <w:tcPr>
            <w:tcW w:w="2965" w:type="dxa"/>
          </w:tcPr>
          <w:p w14:paraId="4CB3F9F7" w14:textId="77777777" w:rsidR="000248FF" w:rsidRPr="000248FF" w:rsidRDefault="000248FF" w:rsidP="000248FF">
            <w:pPr>
              <w:jc w:val="center"/>
              <w:rPr>
                <w:color w:val="2F5496" w:themeColor="accent5" w:themeShade="BF"/>
                <w:sz w:val="32"/>
              </w:rPr>
            </w:pPr>
            <w:r w:rsidRPr="000248FF">
              <w:rPr>
                <w:color w:val="2F5496" w:themeColor="accent5" w:themeShade="BF"/>
                <w:sz w:val="32"/>
              </w:rPr>
              <w:t>-20% or more</w:t>
            </w:r>
          </w:p>
        </w:tc>
        <w:tc>
          <w:tcPr>
            <w:tcW w:w="3515" w:type="dxa"/>
          </w:tcPr>
          <w:p w14:paraId="2F89592A" w14:textId="77777777" w:rsidR="000248FF" w:rsidRPr="000248FF" w:rsidRDefault="000248FF" w:rsidP="000248FF">
            <w:pPr>
              <w:jc w:val="center"/>
              <w:rPr>
                <w:color w:val="2F5496" w:themeColor="accent5" w:themeShade="BF"/>
                <w:sz w:val="32"/>
              </w:rPr>
            </w:pPr>
            <w:r w:rsidRPr="000248FF">
              <w:rPr>
                <w:color w:val="2F5496" w:themeColor="accent5" w:themeShade="BF"/>
                <w:sz w:val="32"/>
              </w:rPr>
              <w:t>Once every 3.5 years</w:t>
            </w:r>
          </w:p>
        </w:tc>
      </w:tr>
      <w:tr w:rsidR="000248FF" w14:paraId="14EF7A4C" w14:textId="77777777" w:rsidTr="000248FF">
        <w:tc>
          <w:tcPr>
            <w:tcW w:w="6480" w:type="dxa"/>
            <w:gridSpan w:val="2"/>
            <w:shd w:val="clear" w:color="auto" w:fill="9CC2E5" w:themeFill="accent1" w:themeFillTint="99"/>
          </w:tcPr>
          <w:p w14:paraId="67BE91E2" w14:textId="77777777" w:rsidR="000248FF" w:rsidRPr="000248FF" w:rsidRDefault="000248FF" w:rsidP="000248FF">
            <w:pPr>
              <w:jc w:val="right"/>
              <w:rPr>
                <w:i/>
                <w:sz w:val="32"/>
              </w:rPr>
            </w:pPr>
            <w:r w:rsidRPr="000248FF">
              <w:rPr>
                <w:i/>
                <w:sz w:val="24"/>
              </w:rPr>
              <w:t>Source: NASDAQ.com</w:t>
            </w:r>
          </w:p>
        </w:tc>
      </w:tr>
    </w:tbl>
    <w:p w14:paraId="42337E5D" w14:textId="77777777" w:rsidR="000248FF" w:rsidRDefault="000248FF">
      <w:pPr>
        <w:rPr>
          <w:sz w:val="24"/>
        </w:rPr>
      </w:pPr>
    </w:p>
    <w:p w14:paraId="4C839DEF" w14:textId="20BFC5E9" w:rsidR="00277BF8" w:rsidRDefault="00277BF8">
      <w:pPr>
        <w:rPr>
          <w:sz w:val="24"/>
        </w:rPr>
      </w:pPr>
      <w:r w:rsidRPr="00277BF8">
        <w:rPr>
          <w:sz w:val="24"/>
        </w:rPr>
        <w:t>Although they can test your nerves, pull backs and corrections are a normal part of the investment cycle.</w:t>
      </w:r>
      <w:r>
        <w:rPr>
          <w:sz w:val="24"/>
        </w:rPr>
        <w:t xml:space="preserve">  As we have discussed in prior reports, it is imperative that investors remain unemotional.  Please do not react to the media magnification of these market moves.</w:t>
      </w:r>
    </w:p>
    <w:p w14:paraId="704EC618" w14:textId="77777777" w:rsidR="00277BF8" w:rsidRDefault="00277BF8">
      <w:pPr>
        <w:rPr>
          <w:sz w:val="24"/>
        </w:rPr>
      </w:pPr>
      <w:r>
        <w:rPr>
          <w:sz w:val="24"/>
        </w:rPr>
        <w:t xml:space="preserve">Our primary responsibility is to communicate with you and we still maintain our </w:t>
      </w:r>
      <w:r w:rsidR="000248FF">
        <w:rPr>
          <w:sz w:val="24"/>
        </w:rPr>
        <w:t>“</w:t>
      </w:r>
      <w:r>
        <w:rPr>
          <w:sz w:val="24"/>
        </w:rPr>
        <w:t>proceed with caution</w:t>
      </w:r>
      <w:r w:rsidR="000248FF">
        <w:rPr>
          <w:sz w:val="24"/>
        </w:rPr>
        <w:t>”</w:t>
      </w:r>
      <w:r>
        <w:rPr>
          <w:sz w:val="24"/>
        </w:rPr>
        <w:t xml:space="preserve"> approach.  If your risk tolerance or goals have changed, or if you have any questions or concerns, please call us. As always we appreciate your confidence in our firm!</w:t>
      </w:r>
    </w:p>
    <w:p w14:paraId="1912729E" w14:textId="77777777" w:rsidR="00277BF8" w:rsidRDefault="00277BF8">
      <w:pPr>
        <w:rPr>
          <w:sz w:val="24"/>
        </w:rPr>
      </w:pPr>
      <w:r>
        <w:rPr>
          <w:sz w:val="24"/>
        </w:rPr>
        <w:t>Also, if any of your friends or relatives are concerned about their wealth, please suggest they call us.</w:t>
      </w:r>
    </w:p>
    <w:p w14:paraId="73C3E073" w14:textId="77777777" w:rsidR="00277BF8" w:rsidRDefault="00277BF8">
      <w:pPr>
        <w:rPr>
          <w:sz w:val="24"/>
        </w:rPr>
      </w:pPr>
      <w:r>
        <w:rPr>
          <w:sz w:val="24"/>
        </w:rPr>
        <w:t>Thank you,</w:t>
      </w:r>
    </w:p>
    <w:p w14:paraId="3C869FCD" w14:textId="77777777" w:rsidR="00277BF8" w:rsidRDefault="00277BF8">
      <w:pPr>
        <w:rPr>
          <w:sz w:val="24"/>
        </w:rPr>
      </w:pPr>
    </w:p>
    <w:p w14:paraId="13AD576A" w14:textId="77777777" w:rsidR="00277BF8" w:rsidRDefault="00277BF8">
      <w:pPr>
        <w:rPr>
          <w:sz w:val="24"/>
        </w:rPr>
      </w:pPr>
    </w:p>
    <w:p w14:paraId="7BFF2C1C" w14:textId="77777777" w:rsidR="00277BF8" w:rsidRPr="00277BF8" w:rsidRDefault="00277BF8" w:rsidP="00277BF8">
      <w:r w:rsidRPr="00277BF8">
        <w:rPr>
          <w:b/>
          <w:sz w:val="24"/>
        </w:rPr>
        <w:t>P.S.</w:t>
      </w:r>
      <w:r>
        <w:rPr>
          <w:sz w:val="24"/>
        </w:rPr>
        <w:t xml:space="preserve"> </w:t>
      </w:r>
      <w:r w:rsidRPr="00277BF8">
        <w:rPr>
          <w:b/>
          <w:bCs/>
        </w:rPr>
        <w:t>One of Warren Buffett’s most famous quotes is "Be fearful when others are greedy, and be greedy only when others are fearful."</w:t>
      </w:r>
    </w:p>
    <w:p w14:paraId="074C2DA1" w14:textId="74D3086B" w:rsidR="00277BF8" w:rsidRPr="00FD5345" w:rsidRDefault="00FD5345">
      <w:r>
        <w:rPr>
          <w:lang w:val="en"/>
        </w:rPr>
        <w:t>This material was prepared by Academy of Preferred Financial Advisors. The opinions voiced in this material are for general information only and are not intended to provide specific advice or recommendations for any individual. All performance referenced is historical and is no guarantee of future results.</w:t>
      </w:r>
      <w:bookmarkStart w:id="0" w:name="_GoBack"/>
      <w:bookmarkEnd w:id="0"/>
    </w:p>
    <w:sectPr w:rsidR="00277BF8" w:rsidRPr="00FD5345" w:rsidSect="000F47CC">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183C" w14:textId="77777777" w:rsidR="000F47CC" w:rsidRDefault="000F47CC" w:rsidP="000F47CC">
      <w:pPr>
        <w:spacing w:after="0" w:line="240" w:lineRule="auto"/>
      </w:pPr>
      <w:r>
        <w:separator/>
      </w:r>
    </w:p>
  </w:endnote>
  <w:endnote w:type="continuationSeparator" w:id="0">
    <w:p w14:paraId="0ECE2D65" w14:textId="77777777" w:rsidR="000F47CC" w:rsidRDefault="000F47CC" w:rsidP="000F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F758" w14:textId="77777777" w:rsidR="000F47CC" w:rsidRDefault="000F47CC" w:rsidP="000F47CC">
      <w:pPr>
        <w:spacing w:after="0" w:line="240" w:lineRule="auto"/>
      </w:pPr>
      <w:r>
        <w:separator/>
      </w:r>
    </w:p>
  </w:footnote>
  <w:footnote w:type="continuationSeparator" w:id="0">
    <w:p w14:paraId="231549C7" w14:textId="77777777" w:rsidR="000F47CC" w:rsidRDefault="000F47CC" w:rsidP="000F47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2293"/>
    <w:rsid w:val="00004FDF"/>
    <w:rsid w:val="000120CA"/>
    <w:rsid w:val="000133B5"/>
    <w:rsid w:val="000144E1"/>
    <w:rsid w:val="00020A34"/>
    <w:rsid w:val="00021595"/>
    <w:rsid w:val="0002319D"/>
    <w:rsid w:val="000248FF"/>
    <w:rsid w:val="0002769F"/>
    <w:rsid w:val="00032761"/>
    <w:rsid w:val="000351F0"/>
    <w:rsid w:val="00035F91"/>
    <w:rsid w:val="00040D4E"/>
    <w:rsid w:val="00041F50"/>
    <w:rsid w:val="0004755F"/>
    <w:rsid w:val="00050EEE"/>
    <w:rsid w:val="00055A62"/>
    <w:rsid w:val="00056724"/>
    <w:rsid w:val="00060523"/>
    <w:rsid w:val="00061B4C"/>
    <w:rsid w:val="00065D18"/>
    <w:rsid w:val="00070C52"/>
    <w:rsid w:val="000737E8"/>
    <w:rsid w:val="000762E1"/>
    <w:rsid w:val="00076C25"/>
    <w:rsid w:val="00077F93"/>
    <w:rsid w:val="00081A0A"/>
    <w:rsid w:val="00081F6D"/>
    <w:rsid w:val="0008422D"/>
    <w:rsid w:val="00090D1A"/>
    <w:rsid w:val="00095F29"/>
    <w:rsid w:val="000960BD"/>
    <w:rsid w:val="00096414"/>
    <w:rsid w:val="000A04D0"/>
    <w:rsid w:val="000A069D"/>
    <w:rsid w:val="000A4AAB"/>
    <w:rsid w:val="000A7535"/>
    <w:rsid w:val="000B200F"/>
    <w:rsid w:val="000C578B"/>
    <w:rsid w:val="000C5BAF"/>
    <w:rsid w:val="000C67A6"/>
    <w:rsid w:val="000C73A1"/>
    <w:rsid w:val="000D1435"/>
    <w:rsid w:val="000D486E"/>
    <w:rsid w:val="000D598C"/>
    <w:rsid w:val="000D60DF"/>
    <w:rsid w:val="000D6231"/>
    <w:rsid w:val="000D662F"/>
    <w:rsid w:val="000D7923"/>
    <w:rsid w:val="000E1C40"/>
    <w:rsid w:val="000E21F0"/>
    <w:rsid w:val="000F47CC"/>
    <w:rsid w:val="000F6F17"/>
    <w:rsid w:val="00103342"/>
    <w:rsid w:val="00104218"/>
    <w:rsid w:val="001053AE"/>
    <w:rsid w:val="00107A8D"/>
    <w:rsid w:val="001145D7"/>
    <w:rsid w:val="00124203"/>
    <w:rsid w:val="00127531"/>
    <w:rsid w:val="00132C85"/>
    <w:rsid w:val="0013472A"/>
    <w:rsid w:val="00135982"/>
    <w:rsid w:val="0014011F"/>
    <w:rsid w:val="0014370A"/>
    <w:rsid w:val="001443CB"/>
    <w:rsid w:val="001505EB"/>
    <w:rsid w:val="001530FC"/>
    <w:rsid w:val="001535CD"/>
    <w:rsid w:val="00155803"/>
    <w:rsid w:val="00160E37"/>
    <w:rsid w:val="00161B10"/>
    <w:rsid w:val="00165111"/>
    <w:rsid w:val="00165420"/>
    <w:rsid w:val="00171326"/>
    <w:rsid w:val="00171F55"/>
    <w:rsid w:val="001769F9"/>
    <w:rsid w:val="001819AC"/>
    <w:rsid w:val="0018252C"/>
    <w:rsid w:val="00185822"/>
    <w:rsid w:val="00185A03"/>
    <w:rsid w:val="00187393"/>
    <w:rsid w:val="00190A86"/>
    <w:rsid w:val="0019541D"/>
    <w:rsid w:val="001969FC"/>
    <w:rsid w:val="001A331A"/>
    <w:rsid w:val="001A4A13"/>
    <w:rsid w:val="001A53B8"/>
    <w:rsid w:val="001A5532"/>
    <w:rsid w:val="001B1FFB"/>
    <w:rsid w:val="001B42F8"/>
    <w:rsid w:val="001B5702"/>
    <w:rsid w:val="001B6E25"/>
    <w:rsid w:val="001C3EA4"/>
    <w:rsid w:val="001C4166"/>
    <w:rsid w:val="001C489C"/>
    <w:rsid w:val="001C508B"/>
    <w:rsid w:val="001D09B2"/>
    <w:rsid w:val="001D532E"/>
    <w:rsid w:val="001D66E6"/>
    <w:rsid w:val="001D7CA3"/>
    <w:rsid w:val="001F0E5F"/>
    <w:rsid w:val="001F686E"/>
    <w:rsid w:val="00201198"/>
    <w:rsid w:val="00202B85"/>
    <w:rsid w:val="002049A6"/>
    <w:rsid w:val="00204C86"/>
    <w:rsid w:val="00205767"/>
    <w:rsid w:val="00206C44"/>
    <w:rsid w:val="002106C5"/>
    <w:rsid w:val="00216BC9"/>
    <w:rsid w:val="00220597"/>
    <w:rsid w:val="00220E26"/>
    <w:rsid w:val="00220FE1"/>
    <w:rsid w:val="002318C6"/>
    <w:rsid w:val="002322F3"/>
    <w:rsid w:val="002335F0"/>
    <w:rsid w:val="00234A12"/>
    <w:rsid w:val="00236273"/>
    <w:rsid w:val="00237B1C"/>
    <w:rsid w:val="00237E45"/>
    <w:rsid w:val="002622B7"/>
    <w:rsid w:val="00263BD8"/>
    <w:rsid w:val="00264079"/>
    <w:rsid w:val="00265DFA"/>
    <w:rsid w:val="00270A7A"/>
    <w:rsid w:val="00271C1A"/>
    <w:rsid w:val="00271D39"/>
    <w:rsid w:val="00277BF8"/>
    <w:rsid w:val="002846E4"/>
    <w:rsid w:val="00290223"/>
    <w:rsid w:val="00295482"/>
    <w:rsid w:val="0029600E"/>
    <w:rsid w:val="00296765"/>
    <w:rsid w:val="002A2801"/>
    <w:rsid w:val="002A3770"/>
    <w:rsid w:val="002A42E0"/>
    <w:rsid w:val="002A561E"/>
    <w:rsid w:val="002A5F6A"/>
    <w:rsid w:val="002A7373"/>
    <w:rsid w:val="002B3841"/>
    <w:rsid w:val="002B426D"/>
    <w:rsid w:val="002B596C"/>
    <w:rsid w:val="002B7F7D"/>
    <w:rsid w:val="002C416D"/>
    <w:rsid w:val="002C65A3"/>
    <w:rsid w:val="002E3454"/>
    <w:rsid w:val="002E729D"/>
    <w:rsid w:val="002F1FA5"/>
    <w:rsid w:val="002F643E"/>
    <w:rsid w:val="002F668B"/>
    <w:rsid w:val="002F79F0"/>
    <w:rsid w:val="003007D7"/>
    <w:rsid w:val="00315F36"/>
    <w:rsid w:val="00321A80"/>
    <w:rsid w:val="003233B5"/>
    <w:rsid w:val="00325798"/>
    <w:rsid w:val="003356DD"/>
    <w:rsid w:val="00340E98"/>
    <w:rsid w:val="0034265C"/>
    <w:rsid w:val="00345871"/>
    <w:rsid w:val="0034689F"/>
    <w:rsid w:val="003518CE"/>
    <w:rsid w:val="00351F5D"/>
    <w:rsid w:val="003550BC"/>
    <w:rsid w:val="003572DB"/>
    <w:rsid w:val="00360B8B"/>
    <w:rsid w:val="003671D5"/>
    <w:rsid w:val="00374FD8"/>
    <w:rsid w:val="003919DC"/>
    <w:rsid w:val="00393B4D"/>
    <w:rsid w:val="003B0B76"/>
    <w:rsid w:val="003B2BDA"/>
    <w:rsid w:val="003B2C64"/>
    <w:rsid w:val="003B42EC"/>
    <w:rsid w:val="003C77B1"/>
    <w:rsid w:val="003D1328"/>
    <w:rsid w:val="003D18D1"/>
    <w:rsid w:val="003D2C6E"/>
    <w:rsid w:val="003D3A0A"/>
    <w:rsid w:val="003D5FC5"/>
    <w:rsid w:val="003E2539"/>
    <w:rsid w:val="0041524E"/>
    <w:rsid w:val="00417173"/>
    <w:rsid w:val="00421016"/>
    <w:rsid w:val="004238A4"/>
    <w:rsid w:val="0043492B"/>
    <w:rsid w:val="00441EA9"/>
    <w:rsid w:val="0044309C"/>
    <w:rsid w:val="004546FE"/>
    <w:rsid w:val="00456357"/>
    <w:rsid w:val="004566B4"/>
    <w:rsid w:val="004579AE"/>
    <w:rsid w:val="004625AE"/>
    <w:rsid w:val="0046280C"/>
    <w:rsid w:val="00464E2C"/>
    <w:rsid w:val="0047336D"/>
    <w:rsid w:val="004762EE"/>
    <w:rsid w:val="0047687D"/>
    <w:rsid w:val="00480893"/>
    <w:rsid w:val="0048266B"/>
    <w:rsid w:val="00485B70"/>
    <w:rsid w:val="00485F37"/>
    <w:rsid w:val="0048616E"/>
    <w:rsid w:val="00487E17"/>
    <w:rsid w:val="00490E38"/>
    <w:rsid w:val="004914E6"/>
    <w:rsid w:val="0049306B"/>
    <w:rsid w:val="00495322"/>
    <w:rsid w:val="0049689E"/>
    <w:rsid w:val="00496A20"/>
    <w:rsid w:val="004A1EB9"/>
    <w:rsid w:val="004A338A"/>
    <w:rsid w:val="004A3AD2"/>
    <w:rsid w:val="004A43C2"/>
    <w:rsid w:val="004A6FDD"/>
    <w:rsid w:val="004A75AA"/>
    <w:rsid w:val="004B1A89"/>
    <w:rsid w:val="004B2779"/>
    <w:rsid w:val="004B28E7"/>
    <w:rsid w:val="004B4747"/>
    <w:rsid w:val="004B57B5"/>
    <w:rsid w:val="004B76CB"/>
    <w:rsid w:val="004B7CEC"/>
    <w:rsid w:val="004C23E3"/>
    <w:rsid w:val="004C42CC"/>
    <w:rsid w:val="004D34F3"/>
    <w:rsid w:val="004D3A60"/>
    <w:rsid w:val="004D73F1"/>
    <w:rsid w:val="004E244F"/>
    <w:rsid w:val="004E2B69"/>
    <w:rsid w:val="004E2DE5"/>
    <w:rsid w:val="004E3587"/>
    <w:rsid w:val="004E705B"/>
    <w:rsid w:val="004F0643"/>
    <w:rsid w:val="004F077D"/>
    <w:rsid w:val="004F6175"/>
    <w:rsid w:val="004F7D0C"/>
    <w:rsid w:val="00500D28"/>
    <w:rsid w:val="005035DD"/>
    <w:rsid w:val="0051409B"/>
    <w:rsid w:val="0052040C"/>
    <w:rsid w:val="0052089A"/>
    <w:rsid w:val="00520A95"/>
    <w:rsid w:val="005221CA"/>
    <w:rsid w:val="0052441D"/>
    <w:rsid w:val="005277C7"/>
    <w:rsid w:val="00542AB3"/>
    <w:rsid w:val="00543838"/>
    <w:rsid w:val="00551B45"/>
    <w:rsid w:val="00554AF9"/>
    <w:rsid w:val="0056145A"/>
    <w:rsid w:val="00561587"/>
    <w:rsid w:val="00561880"/>
    <w:rsid w:val="00562CDA"/>
    <w:rsid w:val="0057147F"/>
    <w:rsid w:val="005744FA"/>
    <w:rsid w:val="0057654A"/>
    <w:rsid w:val="00580FD5"/>
    <w:rsid w:val="005842E2"/>
    <w:rsid w:val="0058499F"/>
    <w:rsid w:val="00584F4B"/>
    <w:rsid w:val="0059084B"/>
    <w:rsid w:val="00592AC3"/>
    <w:rsid w:val="005B0D68"/>
    <w:rsid w:val="005B2DF8"/>
    <w:rsid w:val="005B36D4"/>
    <w:rsid w:val="005B3D92"/>
    <w:rsid w:val="005B6C6B"/>
    <w:rsid w:val="005C149D"/>
    <w:rsid w:val="005C76FB"/>
    <w:rsid w:val="005D0DC9"/>
    <w:rsid w:val="005D1935"/>
    <w:rsid w:val="005D39EF"/>
    <w:rsid w:val="005D667F"/>
    <w:rsid w:val="005D7C3D"/>
    <w:rsid w:val="005D7E1A"/>
    <w:rsid w:val="005E0A8B"/>
    <w:rsid w:val="005E77E8"/>
    <w:rsid w:val="005F2D5D"/>
    <w:rsid w:val="006007CD"/>
    <w:rsid w:val="00606745"/>
    <w:rsid w:val="00607307"/>
    <w:rsid w:val="00611983"/>
    <w:rsid w:val="006143C9"/>
    <w:rsid w:val="00615344"/>
    <w:rsid w:val="006209B3"/>
    <w:rsid w:val="006217E7"/>
    <w:rsid w:val="006239D1"/>
    <w:rsid w:val="00624DAF"/>
    <w:rsid w:val="006251F2"/>
    <w:rsid w:val="006278D1"/>
    <w:rsid w:val="006305F1"/>
    <w:rsid w:val="0065190C"/>
    <w:rsid w:val="006605D2"/>
    <w:rsid w:val="00663A0E"/>
    <w:rsid w:val="00663B2B"/>
    <w:rsid w:val="006669FD"/>
    <w:rsid w:val="006730BC"/>
    <w:rsid w:val="00674B14"/>
    <w:rsid w:val="00680E0E"/>
    <w:rsid w:val="006812AC"/>
    <w:rsid w:val="00681479"/>
    <w:rsid w:val="00683D1B"/>
    <w:rsid w:val="006854BF"/>
    <w:rsid w:val="00686E6D"/>
    <w:rsid w:val="00686F97"/>
    <w:rsid w:val="00695098"/>
    <w:rsid w:val="00696E31"/>
    <w:rsid w:val="00697282"/>
    <w:rsid w:val="006A011B"/>
    <w:rsid w:val="006A3281"/>
    <w:rsid w:val="006B193B"/>
    <w:rsid w:val="006B23E0"/>
    <w:rsid w:val="006B300E"/>
    <w:rsid w:val="006B4D31"/>
    <w:rsid w:val="006B5119"/>
    <w:rsid w:val="006B5274"/>
    <w:rsid w:val="006B7183"/>
    <w:rsid w:val="006C7390"/>
    <w:rsid w:val="006D4212"/>
    <w:rsid w:val="006E34F3"/>
    <w:rsid w:val="006E473A"/>
    <w:rsid w:val="006E6B72"/>
    <w:rsid w:val="006F2620"/>
    <w:rsid w:val="00701BBA"/>
    <w:rsid w:val="00701C37"/>
    <w:rsid w:val="007063CF"/>
    <w:rsid w:val="00706861"/>
    <w:rsid w:val="00715A38"/>
    <w:rsid w:val="00717F5F"/>
    <w:rsid w:val="00721C98"/>
    <w:rsid w:val="00723607"/>
    <w:rsid w:val="007261A7"/>
    <w:rsid w:val="00730BC9"/>
    <w:rsid w:val="007359C0"/>
    <w:rsid w:val="00740C86"/>
    <w:rsid w:val="00746070"/>
    <w:rsid w:val="00751D5A"/>
    <w:rsid w:val="0075265C"/>
    <w:rsid w:val="007526BF"/>
    <w:rsid w:val="00755D05"/>
    <w:rsid w:val="00757D1A"/>
    <w:rsid w:val="00761C95"/>
    <w:rsid w:val="00762134"/>
    <w:rsid w:val="00763435"/>
    <w:rsid w:val="0076715A"/>
    <w:rsid w:val="00770A65"/>
    <w:rsid w:val="0077717D"/>
    <w:rsid w:val="0078010F"/>
    <w:rsid w:val="00781C3E"/>
    <w:rsid w:val="00783A2D"/>
    <w:rsid w:val="00792298"/>
    <w:rsid w:val="0079670B"/>
    <w:rsid w:val="007979CB"/>
    <w:rsid w:val="007A14C2"/>
    <w:rsid w:val="007A2442"/>
    <w:rsid w:val="007A52B8"/>
    <w:rsid w:val="007B0CAB"/>
    <w:rsid w:val="007B2873"/>
    <w:rsid w:val="007B5CAA"/>
    <w:rsid w:val="007B7269"/>
    <w:rsid w:val="007C08F5"/>
    <w:rsid w:val="007C4504"/>
    <w:rsid w:val="007D092A"/>
    <w:rsid w:val="007D11A0"/>
    <w:rsid w:val="007D1AA8"/>
    <w:rsid w:val="007D4E16"/>
    <w:rsid w:val="007D7E48"/>
    <w:rsid w:val="007E4167"/>
    <w:rsid w:val="007E42F9"/>
    <w:rsid w:val="007E507F"/>
    <w:rsid w:val="007E5C4C"/>
    <w:rsid w:val="007E6564"/>
    <w:rsid w:val="007F0476"/>
    <w:rsid w:val="007F2AE6"/>
    <w:rsid w:val="007F5447"/>
    <w:rsid w:val="007F5DCB"/>
    <w:rsid w:val="007F7FAC"/>
    <w:rsid w:val="00803225"/>
    <w:rsid w:val="008034CA"/>
    <w:rsid w:val="008042BE"/>
    <w:rsid w:val="00804B65"/>
    <w:rsid w:val="0080689D"/>
    <w:rsid w:val="00817508"/>
    <w:rsid w:val="0082041D"/>
    <w:rsid w:val="00824049"/>
    <w:rsid w:val="00826C07"/>
    <w:rsid w:val="008312D2"/>
    <w:rsid w:val="00841044"/>
    <w:rsid w:val="00844D07"/>
    <w:rsid w:val="0086664F"/>
    <w:rsid w:val="00866F12"/>
    <w:rsid w:val="0087184C"/>
    <w:rsid w:val="00871D0E"/>
    <w:rsid w:val="00872773"/>
    <w:rsid w:val="0088172C"/>
    <w:rsid w:val="00881E08"/>
    <w:rsid w:val="00882538"/>
    <w:rsid w:val="008879A0"/>
    <w:rsid w:val="00896379"/>
    <w:rsid w:val="008A03E0"/>
    <w:rsid w:val="008A16F5"/>
    <w:rsid w:val="008A49C0"/>
    <w:rsid w:val="008B3155"/>
    <w:rsid w:val="008B5019"/>
    <w:rsid w:val="008B609A"/>
    <w:rsid w:val="008C0C20"/>
    <w:rsid w:val="008D05C4"/>
    <w:rsid w:val="008D098E"/>
    <w:rsid w:val="008D5575"/>
    <w:rsid w:val="008D654E"/>
    <w:rsid w:val="008E2CB6"/>
    <w:rsid w:val="008F08B5"/>
    <w:rsid w:val="008F1DC3"/>
    <w:rsid w:val="008F20B8"/>
    <w:rsid w:val="00900628"/>
    <w:rsid w:val="009014E5"/>
    <w:rsid w:val="00910235"/>
    <w:rsid w:val="00910F89"/>
    <w:rsid w:val="00911D02"/>
    <w:rsid w:val="00916264"/>
    <w:rsid w:val="009202B6"/>
    <w:rsid w:val="00920AF4"/>
    <w:rsid w:val="00927B50"/>
    <w:rsid w:val="009301A8"/>
    <w:rsid w:val="00933B7A"/>
    <w:rsid w:val="00940F43"/>
    <w:rsid w:val="0094123F"/>
    <w:rsid w:val="00943A24"/>
    <w:rsid w:val="00943FE7"/>
    <w:rsid w:val="00945AF5"/>
    <w:rsid w:val="009468AF"/>
    <w:rsid w:val="009468FE"/>
    <w:rsid w:val="00947698"/>
    <w:rsid w:val="0096032B"/>
    <w:rsid w:val="00962B44"/>
    <w:rsid w:val="00967626"/>
    <w:rsid w:val="00985815"/>
    <w:rsid w:val="00990BCF"/>
    <w:rsid w:val="009929A1"/>
    <w:rsid w:val="00993B09"/>
    <w:rsid w:val="009A04D0"/>
    <w:rsid w:val="009B4093"/>
    <w:rsid w:val="009B76B7"/>
    <w:rsid w:val="009B7C8E"/>
    <w:rsid w:val="009C4032"/>
    <w:rsid w:val="009C62CF"/>
    <w:rsid w:val="009D13D7"/>
    <w:rsid w:val="009D346F"/>
    <w:rsid w:val="009D5FCE"/>
    <w:rsid w:val="009E40D6"/>
    <w:rsid w:val="009E6247"/>
    <w:rsid w:val="009E6488"/>
    <w:rsid w:val="009F5BB2"/>
    <w:rsid w:val="00A018BF"/>
    <w:rsid w:val="00A02055"/>
    <w:rsid w:val="00A026CF"/>
    <w:rsid w:val="00A02CF6"/>
    <w:rsid w:val="00A03574"/>
    <w:rsid w:val="00A0361D"/>
    <w:rsid w:val="00A0385A"/>
    <w:rsid w:val="00A04A58"/>
    <w:rsid w:val="00A04B46"/>
    <w:rsid w:val="00A05A13"/>
    <w:rsid w:val="00A06B3B"/>
    <w:rsid w:val="00A0723C"/>
    <w:rsid w:val="00A109FF"/>
    <w:rsid w:val="00A10AC9"/>
    <w:rsid w:val="00A13737"/>
    <w:rsid w:val="00A13DC8"/>
    <w:rsid w:val="00A151E4"/>
    <w:rsid w:val="00A15C5C"/>
    <w:rsid w:val="00A162BE"/>
    <w:rsid w:val="00A16D8D"/>
    <w:rsid w:val="00A2676E"/>
    <w:rsid w:val="00A311E3"/>
    <w:rsid w:val="00A32AA7"/>
    <w:rsid w:val="00A34FB9"/>
    <w:rsid w:val="00A368E8"/>
    <w:rsid w:val="00A40F41"/>
    <w:rsid w:val="00A43AC2"/>
    <w:rsid w:val="00A50433"/>
    <w:rsid w:val="00A56413"/>
    <w:rsid w:val="00A61C1E"/>
    <w:rsid w:val="00A636EE"/>
    <w:rsid w:val="00A66112"/>
    <w:rsid w:val="00A70E49"/>
    <w:rsid w:val="00A7377C"/>
    <w:rsid w:val="00A75C28"/>
    <w:rsid w:val="00A76623"/>
    <w:rsid w:val="00A7701C"/>
    <w:rsid w:val="00A80A21"/>
    <w:rsid w:val="00A924C8"/>
    <w:rsid w:val="00A92CD0"/>
    <w:rsid w:val="00A9552C"/>
    <w:rsid w:val="00AB0358"/>
    <w:rsid w:val="00AB0F12"/>
    <w:rsid w:val="00AB1588"/>
    <w:rsid w:val="00AB2918"/>
    <w:rsid w:val="00AB441E"/>
    <w:rsid w:val="00AB5648"/>
    <w:rsid w:val="00AC1390"/>
    <w:rsid w:val="00AC3E6E"/>
    <w:rsid w:val="00AC67BB"/>
    <w:rsid w:val="00AD0702"/>
    <w:rsid w:val="00AD4DE3"/>
    <w:rsid w:val="00AE0787"/>
    <w:rsid w:val="00AE1E40"/>
    <w:rsid w:val="00AE3F88"/>
    <w:rsid w:val="00AE6756"/>
    <w:rsid w:val="00AE68E3"/>
    <w:rsid w:val="00AF0D1C"/>
    <w:rsid w:val="00AF2471"/>
    <w:rsid w:val="00AF7E2C"/>
    <w:rsid w:val="00B0304C"/>
    <w:rsid w:val="00B10360"/>
    <w:rsid w:val="00B11C25"/>
    <w:rsid w:val="00B16329"/>
    <w:rsid w:val="00B175CB"/>
    <w:rsid w:val="00B2218C"/>
    <w:rsid w:val="00B22A21"/>
    <w:rsid w:val="00B24A56"/>
    <w:rsid w:val="00B307E7"/>
    <w:rsid w:val="00B312E8"/>
    <w:rsid w:val="00B3267B"/>
    <w:rsid w:val="00B327A9"/>
    <w:rsid w:val="00B36C6D"/>
    <w:rsid w:val="00B40D1C"/>
    <w:rsid w:val="00B4508D"/>
    <w:rsid w:val="00B45E80"/>
    <w:rsid w:val="00B51C84"/>
    <w:rsid w:val="00B52886"/>
    <w:rsid w:val="00B6139A"/>
    <w:rsid w:val="00B63E80"/>
    <w:rsid w:val="00B6470C"/>
    <w:rsid w:val="00B673A0"/>
    <w:rsid w:val="00B738C9"/>
    <w:rsid w:val="00B73932"/>
    <w:rsid w:val="00B759D7"/>
    <w:rsid w:val="00B87C6B"/>
    <w:rsid w:val="00B97E5E"/>
    <w:rsid w:val="00BA19AD"/>
    <w:rsid w:val="00BA1DE2"/>
    <w:rsid w:val="00BA4050"/>
    <w:rsid w:val="00BA5A13"/>
    <w:rsid w:val="00BB264A"/>
    <w:rsid w:val="00BB3F07"/>
    <w:rsid w:val="00BC2277"/>
    <w:rsid w:val="00BD0B2F"/>
    <w:rsid w:val="00BD11CD"/>
    <w:rsid w:val="00BD2FBA"/>
    <w:rsid w:val="00BE3157"/>
    <w:rsid w:val="00BE5A23"/>
    <w:rsid w:val="00BF139D"/>
    <w:rsid w:val="00BF2295"/>
    <w:rsid w:val="00BF27E0"/>
    <w:rsid w:val="00BF6E7F"/>
    <w:rsid w:val="00BF6F7E"/>
    <w:rsid w:val="00BF7AB4"/>
    <w:rsid w:val="00C00D9F"/>
    <w:rsid w:val="00C02BD2"/>
    <w:rsid w:val="00C06597"/>
    <w:rsid w:val="00C12D41"/>
    <w:rsid w:val="00C16283"/>
    <w:rsid w:val="00C204E9"/>
    <w:rsid w:val="00C30C83"/>
    <w:rsid w:val="00C35699"/>
    <w:rsid w:val="00C449A6"/>
    <w:rsid w:val="00C5475A"/>
    <w:rsid w:val="00C55626"/>
    <w:rsid w:val="00C62B5A"/>
    <w:rsid w:val="00C6390D"/>
    <w:rsid w:val="00C72442"/>
    <w:rsid w:val="00C7519F"/>
    <w:rsid w:val="00C8281D"/>
    <w:rsid w:val="00C82BA8"/>
    <w:rsid w:val="00C95BFA"/>
    <w:rsid w:val="00C97E29"/>
    <w:rsid w:val="00CA10A0"/>
    <w:rsid w:val="00CA6301"/>
    <w:rsid w:val="00CA7432"/>
    <w:rsid w:val="00CB2F51"/>
    <w:rsid w:val="00CB5807"/>
    <w:rsid w:val="00CB5C6B"/>
    <w:rsid w:val="00CC15E1"/>
    <w:rsid w:val="00CC512D"/>
    <w:rsid w:val="00CC5D4C"/>
    <w:rsid w:val="00CD7D86"/>
    <w:rsid w:val="00CE0954"/>
    <w:rsid w:val="00CE2C47"/>
    <w:rsid w:val="00CE40CD"/>
    <w:rsid w:val="00CE54C3"/>
    <w:rsid w:val="00CF2829"/>
    <w:rsid w:val="00CF4F97"/>
    <w:rsid w:val="00CF5B9B"/>
    <w:rsid w:val="00D01DFD"/>
    <w:rsid w:val="00D042A8"/>
    <w:rsid w:val="00D05874"/>
    <w:rsid w:val="00D06A91"/>
    <w:rsid w:val="00D10B1C"/>
    <w:rsid w:val="00D110AC"/>
    <w:rsid w:val="00D1473A"/>
    <w:rsid w:val="00D17265"/>
    <w:rsid w:val="00D27585"/>
    <w:rsid w:val="00D375DE"/>
    <w:rsid w:val="00D47424"/>
    <w:rsid w:val="00D50A56"/>
    <w:rsid w:val="00D52669"/>
    <w:rsid w:val="00D55089"/>
    <w:rsid w:val="00D5628E"/>
    <w:rsid w:val="00D6018E"/>
    <w:rsid w:val="00D67FDE"/>
    <w:rsid w:val="00D70488"/>
    <w:rsid w:val="00D714F9"/>
    <w:rsid w:val="00D75CC8"/>
    <w:rsid w:val="00D75D95"/>
    <w:rsid w:val="00D76273"/>
    <w:rsid w:val="00D82712"/>
    <w:rsid w:val="00D96F61"/>
    <w:rsid w:val="00D976B0"/>
    <w:rsid w:val="00DA0293"/>
    <w:rsid w:val="00DA0F61"/>
    <w:rsid w:val="00DB541D"/>
    <w:rsid w:val="00DB7617"/>
    <w:rsid w:val="00DB7755"/>
    <w:rsid w:val="00DC1760"/>
    <w:rsid w:val="00DC75F5"/>
    <w:rsid w:val="00DC77F7"/>
    <w:rsid w:val="00DD2EC7"/>
    <w:rsid w:val="00DF38D5"/>
    <w:rsid w:val="00DF669E"/>
    <w:rsid w:val="00DF7228"/>
    <w:rsid w:val="00E06F6E"/>
    <w:rsid w:val="00E11D7C"/>
    <w:rsid w:val="00E12B16"/>
    <w:rsid w:val="00E135C0"/>
    <w:rsid w:val="00E25264"/>
    <w:rsid w:val="00E27096"/>
    <w:rsid w:val="00E272B6"/>
    <w:rsid w:val="00E303EB"/>
    <w:rsid w:val="00E31E9C"/>
    <w:rsid w:val="00E33A3D"/>
    <w:rsid w:val="00E43476"/>
    <w:rsid w:val="00E5063E"/>
    <w:rsid w:val="00E52633"/>
    <w:rsid w:val="00E52D3E"/>
    <w:rsid w:val="00E541FA"/>
    <w:rsid w:val="00E548C6"/>
    <w:rsid w:val="00E549A9"/>
    <w:rsid w:val="00E560AF"/>
    <w:rsid w:val="00E60078"/>
    <w:rsid w:val="00E64353"/>
    <w:rsid w:val="00E72F69"/>
    <w:rsid w:val="00E751F0"/>
    <w:rsid w:val="00E901A7"/>
    <w:rsid w:val="00EA48D3"/>
    <w:rsid w:val="00EA5DF7"/>
    <w:rsid w:val="00EA6157"/>
    <w:rsid w:val="00EA79B2"/>
    <w:rsid w:val="00EB1074"/>
    <w:rsid w:val="00EB1F2A"/>
    <w:rsid w:val="00EB232C"/>
    <w:rsid w:val="00EB75C7"/>
    <w:rsid w:val="00EC3C24"/>
    <w:rsid w:val="00EC481B"/>
    <w:rsid w:val="00EC65D2"/>
    <w:rsid w:val="00ED4599"/>
    <w:rsid w:val="00ED7036"/>
    <w:rsid w:val="00EE1BC4"/>
    <w:rsid w:val="00EE6EEA"/>
    <w:rsid w:val="00EF64D5"/>
    <w:rsid w:val="00EF7EA4"/>
    <w:rsid w:val="00F0281E"/>
    <w:rsid w:val="00F04AB9"/>
    <w:rsid w:val="00F06AD8"/>
    <w:rsid w:val="00F10703"/>
    <w:rsid w:val="00F10ACC"/>
    <w:rsid w:val="00F10E63"/>
    <w:rsid w:val="00F12560"/>
    <w:rsid w:val="00F15078"/>
    <w:rsid w:val="00F159B9"/>
    <w:rsid w:val="00F2353C"/>
    <w:rsid w:val="00F24E95"/>
    <w:rsid w:val="00F3668E"/>
    <w:rsid w:val="00F37AC0"/>
    <w:rsid w:val="00F37CBC"/>
    <w:rsid w:val="00F4563F"/>
    <w:rsid w:val="00F52486"/>
    <w:rsid w:val="00F53605"/>
    <w:rsid w:val="00F54FCD"/>
    <w:rsid w:val="00F5558C"/>
    <w:rsid w:val="00F56241"/>
    <w:rsid w:val="00F62093"/>
    <w:rsid w:val="00F62A81"/>
    <w:rsid w:val="00F62BB7"/>
    <w:rsid w:val="00F63813"/>
    <w:rsid w:val="00F67D4C"/>
    <w:rsid w:val="00F718CB"/>
    <w:rsid w:val="00F7586F"/>
    <w:rsid w:val="00F807FA"/>
    <w:rsid w:val="00F80851"/>
    <w:rsid w:val="00F81AD8"/>
    <w:rsid w:val="00F81CD7"/>
    <w:rsid w:val="00F8499C"/>
    <w:rsid w:val="00F95FB9"/>
    <w:rsid w:val="00F9753A"/>
    <w:rsid w:val="00FA305E"/>
    <w:rsid w:val="00FA7176"/>
    <w:rsid w:val="00FA73DA"/>
    <w:rsid w:val="00FB1D00"/>
    <w:rsid w:val="00FB2288"/>
    <w:rsid w:val="00FB23D4"/>
    <w:rsid w:val="00FB323F"/>
    <w:rsid w:val="00FB3C30"/>
    <w:rsid w:val="00FC0373"/>
    <w:rsid w:val="00FC3246"/>
    <w:rsid w:val="00FD3B52"/>
    <w:rsid w:val="00FD5345"/>
    <w:rsid w:val="00FE048A"/>
    <w:rsid w:val="00FE23A9"/>
    <w:rsid w:val="00FE324B"/>
    <w:rsid w:val="00FE3DE9"/>
    <w:rsid w:val="00FF40A4"/>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9336"/>
  <w15:chartTrackingRefBased/>
  <w15:docId w15:val="{D15B5B8A-BBFB-42F4-A90D-E5BBE600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B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7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8"/>
    <w:rPr>
      <w:rFonts w:ascii="Segoe UI" w:hAnsi="Segoe UI" w:cs="Segoe UI"/>
      <w:sz w:val="18"/>
      <w:szCs w:val="18"/>
    </w:rPr>
  </w:style>
  <w:style w:type="table" w:styleId="TableGrid">
    <w:name w:val="Table Grid"/>
    <w:basedOn w:val="TableNormal"/>
    <w:uiPriority w:val="39"/>
    <w:rsid w:val="0002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7CC"/>
  </w:style>
  <w:style w:type="paragraph" w:styleId="Footer">
    <w:name w:val="footer"/>
    <w:basedOn w:val="Normal"/>
    <w:link w:val="FooterChar"/>
    <w:uiPriority w:val="99"/>
    <w:unhideWhenUsed/>
    <w:rsid w:val="000F4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8271">
      <w:bodyDiv w:val="1"/>
      <w:marLeft w:val="0"/>
      <w:marRight w:val="0"/>
      <w:marTop w:val="0"/>
      <w:marBottom w:val="0"/>
      <w:divBdr>
        <w:top w:val="none" w:sz="0" w:space="0" w:color="auto"/>
        <w:left w:val="none" w:sz="0" w:space="0" w:color="auto"/>
        <w:bottom w:val="none" w:sz="0" w:space="0" w:color="auto"/>
        <w:right w:val="none" w:sz="0" w:space="0" w:color="auto"/>
      </w:divBdr>
    </w:div>
    <w:div w:id="15282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Unger</dc:creator>
  <cp:keywords/>
  <dc:description/>
  <cp:lastModifiedBy>Trevor Stockman</cp:lastModifiedBy>
  <cp:revision>2</cp:revision>
  <cp:lastPrinted>2018-10-23T19:00:00Z</cp:lastPrinted>
  <dcterms:created xsi:type="dcterms:W3CDTF">2018-10-23T20:10:00Z</dcterms:created>
  <dcterms:modified xsi:type="dcterms:W3CDTF">2018-10-23T20:10:00Z</dcterms:modified>
</cp:coreProperties>
</file>